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6.png" ContentType="image/png"/>
  <Override PartName="/word/media/rId62.png" ContentType="image/png"/>
  <Override PartName="/word/media/rId53.png" ContentType="image/png"/>
  <Override PartName="/word/media/rId58.png" ContentType="image/png"/>
  <Override PartName="/word/media/rId57.png" ContentType="image/png"/>
  <Override PartName="/word/media/rId61.png" ContentType="image/png"/>
  <Override PartName="/word/media/rId55.png" ContentType="image/png"/>
  <Override PartName="/word/media/rId63.png" ContentType="image/png"/>
  <Override PartName="/word/media/rId60.png" ContentType="image/png"/>
  <Override PartName="/word/media/rId59.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Sat May 12 10:24:48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determining biological impairments under state or federal water quality mandates. The landscape models could be used to refine the list of potential sites that are not meeting biological criteria by identifying locations that are expected to achieve improved biological condition relative to those that are less likely to improve given landscape constraints.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biological-endpoints-are-meaningful-for-describing-constraints"/>
      <w:r>
        <w:t xml:space="preserve">Biological endpoints are meaningful for describing constraints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The extreme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Engineered channels have extreme limitations on physical habitat and our models identified many of these locations in our case study. However, these channels were identified as constrained based on land use only. We identified other locations where engineered channels were not as common but similar constraints were observed, as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 ().</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based on consensus among the stakeholders that represented different interests (i.e., regulators, dischargers, constultants,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by the authors such that the recommended actions were defined exclusively by the group. This approach ensured that all stakeholders were in agreement with the final product and, therefore, were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FirstParagraph"/>
      </w:pPr>
      <w:r>
        <w:t xml:space="preserve">The primary objective of developing the landscape models was to provide a screening tool for exploring biological constraints to facilitate a discussion of management options relative to site contexts. These models are not intended for developing regulatory designations for individual sites, nor are they sufficient by themselves as a use attainability assessment at constrained sites. Specifically, the landscape model is associative by design and does not identify mechanistic links between biological constraints and proximal causes.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We have explicitly not incorporated channel modification as a predictive mechanism by which biological constraints may occur, although habitat limitations imposed by modification may impose real limits on biology. More comprehensive assessments at individual sites are needed to diagnose the immediate causes of impairment from channel modification.</w:t>
      </w:r>
    </w:p>
    <w:p>
      <w:pPr>
        <w:pStyle w:val="BodyText"/>
      </w:pPr>
      <w:r>
        <w:t xml:space="preserve">An additional consideration in applying the model to inform management decisions is the meaning of biologically constrained in the context of macroinvertebrate communities. Biologically constrained sites were considered those where landscapes were likely to limit the bioassessment index. The CSCI provides an indication of stream health by estimating the macroinvertebrate community that is likely to be present under factors that naturally influence biology for the region and comparing the observed community to the estimate. A constrained site as estimated by the landscape model is only constrained relative to the macroinvertebrate community. In many cases, poor biotic condition of the macroinvertebrate community translates to poor stream condition. However, a constrained macroinvertebrate community does not always mean other aspects diagnostic of stream health are also constrained. Many urban streams can support diverse algal assemblages such that algal-based measures of biotic condition may alternatively suggest good biotic condition relative to macroinvertebrate-based indices. This limitation of the landscape model is not unique to other bioassessment tools and application to other taxa as alternatives lines of evidence is needed for a more complete condition assessment.</w:t>
      </w:r>
    </w:p>
    <w:p>
      <w:pPr>
        <w:pStyle w:val="Heading2"/>
      </w:pPr>
      <w:bookmarkStart w:id="48" w:name="additional-applications-of-the-landscape-model"/>
      <w:r>
        <w:t xml:space="preserve">Additional applications of the landscape model</w:t>
      </w:r>
      <w:bookmarkEnd w:id="48"/>
    </w:p>
    <w:p>
      <w:pPr>
        <w:pStyle w:val="FirstParagraph"/>
      </w:pPr>
      <w:r>
        <w:t xml:space="preserve">This work has immediate relevance for informing use of bioassessment indices in freshwater streams of California, both from the perspective of identifying management priorities and for developing an interpretation of broad scale factors that limit ecological integrity. Our use of geospatial datasets that are descriptive at the national scale suggests that these methods could be applied elsewhere and in unique bioassessment contexts. The NHD and StreamCat datasets cover the entire hydrologic network of the conterminous United States and national-scale bioassessment tools are available through the National Rivers and Streams Assessment</w:t>
      </w:r>
      <w:r>
        <w:t xml:space="preserve"> </w:t>
      </w:r>
      <w:r>
        <w:t xml:space="preserve">(USEPA (US Environmental Protection Agency)</w:t>
      </w:r>
      <w:r>
        <w:t xml:space="preserve"> </w:t>
      </w:r>
      <w:hyperlink w:anchor="ref-USEPA16">
        <w:r>
          <w:rPr>
            <w:rStyle w:val="Hyperlink"/>
          </w:rPr>
          <w:t xml:space="preserve">2016</w:t>
        </w:r>
      </w:hyperlink>
      <w:r>
        <w:t xml:space="preserve">; Hill et al.</w:t>
      </w:r>
      <w:r>
        <w:t xml:space="preserve"> </w:t>
      </w:r>
      <w:hyperlink w:anchor="ref-Hill17">
        <w:r>
          <w:rPr>
            <w:rStyle w:val="Hyperlink"/>
          </w:rPr>
          <w:t xml:space="preserve">2017</w:t>
        </w:r>
      </w:hyperlink>
      <w:r>
        <w:t xml:space="preserve">)</w:t>
      </w:r>
      <w:r>
        <w:t xml:space="preserve">. Statewide extension of the landscape model could be explored to develop a national scale product of constraints on biological condition. Although landscape stressors are ubiquituous at the contintental scale, extention of the landscape models beyond California should consider regional variation in landscape stressors that are predictive of biotic condition. Urban and agricultural gradients were sufficient to characterize constraints in many regions of California, whereas the model did not perform well in regions where thes gradients did not occur. A national level landscape model must consider alternative predictors provided by the StreamCat model that are sufficient to model biological condition.</w:t>
      </w:r>
    </w:p>
    <w:p>
      <w:pPr>
        <w:pStyle w:val="Heading2"/>
      </w:pPr>
      <w:bookmarkStart w:id="49" w:name="summary"/>
      <w:r>
        <w:t xml:space="preserve">Summary</w:t>
      </w:r>
      <w:bookmarkEnd w:id="49"/>
    </w:p>
    <w:p>
      <w:pPr>
        <w:pStyle w:val="FirstParagraph"/>
      </w:pPr>
      <w:r>
        <w:t xml:space="preserve">The prevalence of degraded stream sites in California requires the use of 1) assessment tools that can accurately evaluate condition, and 2) tools that can provide a context for evaluating assessment tools. The landscape model was developed to better inform application of the CSCI to inform decision-making in the context of landscape constraints on biological condition. Statewide development of the tool demonstrated where streams are likely constrained on a regional basis, whereas application to the SGR watershed demonstrated how the tool can be used by local stakeholders to prioritize management actions that are informed by landscape context. Most importantly, this tool does not provide a prescription for causes of impairment, nor does it discount sites from management intervention if constraints are high. The landscape model can inform the interpretation of biotic condition and is an exploratory tool that can help identify where management goals are most likely to be achieved.</w:t>
      </w:r>
    </w:p>
    <w:p>
      <w:pPr>
        <w:pStyle w:val="Heading1"/>
      </w:pPr>
      <w:bookmarkStart w:id="50" w:name="supplement"/>
      <w:r>
        <w:t xml:space="preserve">Supplement</w:t>
      </w:r>
      <w:bookmarkEnd w:id="50"/>
    </w:p>
    <w:p>
      <w:pPr>
        <w:pStyle w:val="FirstParagraph"/>
      </w:pPr>
      <w:r>
        <w:t xml:space="preserve">The SCAPE model application website:</w:t>
      </w:r>
      <w:r>
        <w:t xml:space="preserve"> </w:t>
      </w:r>
      <w:hyperlink r:id="rId51">
        <w:r>
          <w:rPr>
            <w:rStyle w:val="Hyperlink"/>
          </w:rPr>
          <w:t xml:space="preserve">http://shiny.sccwrp.org/scape/</w:t>
        </w:r>
      </w:hyperlink>
    </w:p>
    <w:p>
      <w:pPr>
        <w:pStyle w:val="Heading1"/>
      </w:pPr>
      <w:bookmarkStart w:id="52" w:name="figures"/>
      <w:r>
        <w:t xml:space="preserve">Figures</w:t>
      </w:r>
      <w:bookmarkEnd w:id="52"/>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3"/>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4"/>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6"/>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6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6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4" w:name="tables"/>
      <w:r>
        <w:t xml:space="preserve">Tables</w:t>
      </w:r>
      <w:bookmarkEnd w:id="64"/>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5" w:name="references"/>
      <w:r>
        <w:t xml:space="preserve">References</w:t>
      </w:r>
      <w:bookmarkEnd w:id="65"/>
    </w:p>
    <w:bookmarkStart w:id="127" w:name="refs"/>
    <w:bookmarkStart w:id="67"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6">
        <w:r>
          <w:rPr>
            <w:rStyle w:val="Hyperlink"/>
          </w:rPr>
          <w:t xml:space="preserve">https://doi.org/10.1046/j.1365-2427.1997.d01-546.x</w:t>
        </w:r>
      </w:hyperlink>
      <w:r>
        <w:t xml:space="preserve">.</w:t>
      </w:r>
    </w:p>
    <w:bookmarkEnd w:id="67"/>
    <w:bookmarkStart w:id="69"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8">
        <w:r>
          <w:rPr>
            <w:rStyle w:val="Hyperlink"/>
          </w:rPr>
          <w:t xml:space="preserve">https://doi.org/10.1146/annurev.ecolsys.35.120202.110122</w:t>
        </w:r>
      </w:hyperlink>
      <w:r>
        <w:t xml:space="preserve">.</w:t>
      </w:r>
    </w:p>
    <w:bookmarkEnd w:id="69"/>
    <w:bookmarkStart w:id="70"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0"/>
    <w:bookmarkStart w:id="71"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71"/>
    <w:bookmarkStart w:id="73"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2">
        <w:r>
          <w:rPr>
            <w:rStyle w:val="Hyperlink"/>
          </w:rPr>
          <w:t xml:space="preserve">https://doi.org/10.1111/j.1526-100X.2007.00285.x</w:t>
        </w:r>
      </w:hyperlink>
      <w:r>
        <w:t xml:space="preserve">.</w:t>
      </w:r>
    </w:p>
    <w:bookmarkEnd w:id="73"/>
    <w:bookmarkStart w:id="75"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4">
        <w:r>
          <w:rPr>
            <w:rStyle w:val="Hyperlink"/>
          </w:rPr>
          <w:t xml:space="preserve">https://doi.org/10.1007/s10661-008-0256-z</w:t>
        </w:r>
      </w:hyperlink>
      <w:r>
        <w:t xml:space="preserve">.</w:t>
      </w:r>
    </w:p>
    <w:bookmarkEnd w:id="75"/>
    <w:bookmarkStart w:id="77"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6">
        <w:r>
          <w:rPr>
            <w:rStyle w:val="Hyperlink"/>
          </w:rPr>
          <w:t xml:space="preserve">https://doi.org/10.1016/j.ecolind.2013.07.006</w:t>
        </w:r>
      </w:hyperlink>
      <w:r>
        <w:t xml:space="preserve">.</w:t>
      </w:r>
    </w:p>
    <w:bookmarkEnd w:id="77"/>
    <w:bookmarkStart w:id="79"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8">
        <w:r>
          <w:rPr>
            <w:rStyle w:val="Hyperlink"/>
          </w:rPr>
          <w:t xml:space="preserve">https://doi.org/10.1111/j.1365-2427.2011.02696.x</w:t>
        </w:r>
      </w:hyperlink>
      <w:r>
        <w:t xml:space="preserve">.</w:t>
      </w:r>
    </w:p>
    <w:bookmarkEnd w:id="79"/>
    <w:bookmarkStart w:id="81"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80">
        <w:r>
          <w:rPr>
            <w:rStyle w:val="Hyperlink"/>
          </w:rPr>
          <w:t xml:space="preserve">https://doi.org/10.1002/etc.2059</w:t>
        </w:r>
      </w:hyperlink>
      <w:r>
        <w:t xml:space="preserve">.</w:t>
      </w:r>
    </w:p>
    <w:bookmarkEnd w:id="81"/>
    <w:bookmarkStart w:id="83"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82">
        <w:r>
          <w:rPr>
            <w:rStyle w:val="Hyperlink"/>
          </w:rPr>
          <w:t xml:space="preserve">https://doi.org/10.1111/j.1752-1688.2000.tb05717.x</w:t>
        </w:r>
      </w:hyperlink>
      <w:r>
        <w:t xml:space="preserve">.</w:t>
      </w:r>
    </w:p>
    <w:bookmarkEnd w:id="83"/>
    <w:bookmarkStart w:id="84"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84"/>
    <w:bookmarkStart w:id="86"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5">
        <w:r>
          <w:rPr>
            <w:rStyle w:val="Hyperlink"/>
          </w:rPr>
          <w:t xml:space="preserve">https://doi.org/10.1002/eap.1617</w:t>
        </w:r>
      </w:hyperlink>
      <w:r>
        <w:t xml:space="preserve">.</w:t>
      </w:r>
    </w:p>
    <w:bookmarkEnd w:id="86"/>
    <w:bookmarkStart w:id="88"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7">
        <w:r>
          <w:rPr>
            <w:rStyle w:val="Hyperlink"/>
          </w:rPr>
          <w:t xml:space="preserve">https://doi.org/10.1111/1752-1688.12372</w:t>
        </w:r>
      </w:hyperlink>
      <w:r>
        <w:t xml:space="preserve">.</w:t>
      </w:r>
    </w:p>
    <w:bookmarkEnd w:id="88"/>
    <w:bookmarkStart w:id="90"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9">
        <w:r>
          <w:rPr>
            <w:rStyle w:val="Hyperlink"/>
          </w:rPr>
          <w:t xml:space="preserve">https://doi.org/10.1371/journal.pone.0130710</w:t>
        </w:r>
      </w:hyperlink>
      <w:r>
        <w:t xml:space="preserve">.</w:t>
      </w:r>
    </w:p>
    <w:bookmarkEnd w:id="90"/>
    <w:bookmarkStart w:id="91"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91"/>
    <w:bookmarkStart w:id="93"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92">
        <w:r>
          <w:rPr>
            <w:rStyle w:val="Hyperlink"/>
          </w:rPr>
          <w:t xml:space="preserve">https://doi.org/10.1111/j.1752-1688.2011.00635.x</w:t>
        </w:r>
      </w:hyperlink>
      <w:r>
        <w:t xml:space="preserve">.</w:t>
      </w:r>
    </w:p>
    <w:bookmarkEnd w:id="93"/>
    <w:bookmarkStart w:id="95"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94">
        <w:r>
          <w:rPr>
            <w:rStyle w:val="Hyperlink"/>
          </w:rPr>
          <w:t xml:space="preserve">https://doi.org/10.1016/j.scitotenv.2015.07.083</w:t>
        </w:r>
      </w:hyperlink>
      <w:r>
        <w:t xml:space="preserve">.</w:t>
      </w:r>
    </w:p>
    <w:bookmarkEnd w:id="95"/>
    <w:bookmarkStart w:id="97"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6">
        <w:r>
          <w:rPr>
            <w:rStyle w:val="Hyperlink"/>
          </w:rPr>
          <w:t xml:space="preserve">https://doi.org/10.1007%2Fs00267-008-9151-1</w:t>
        </w:r>
      </w:hyperlink>
      <w:r>
        <w:t xml:space="preserve">.</w:t>
      </w:r>
    </w:p>
    <w:bookmarkEnd w:id="97"/>
    <w:bookmarkStart w:id="98"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98"/>
    <w:bookmarkStart w:id="9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99"/>
    <w:bookmarkStart w:id="100"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00"/>
    <w:bookmarkStart w:id="102"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01">
        <w:r>
          <w:rPr>
            <w:rStyle w:val="Hyperlink"/>
          </w:rPr>
          <w:t xml:space="preserve">https://CRAN.R-project.org/package=quantregForest</w:t>
        </w:r>
      </w:hyperlink>
      <w:r>
        <w:t xml:space="preserve">.</w:t>
      </w:r>
    </w:p>
    <w:bookmarkEnd w:id="102"/>
    <w:bookmarkStart w:id="103"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03"/>
    <w:bookmarkStart w:id="105"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04">
        <w:r>
          <w:rPr>
            <w:rStyle w:val="Hyperlink"/>
          </w:rPr>
          <w:t xml:space="preserve">https://doi.org/10.1016/j.watres.2004.09.002</w:t>
        </w:r>
      </w:hyperlink>
      <w:r>
        <w:t xml:space="preserve">.</w:t>
      </w:r>
    </w:p>
    <w:bookmarkEnd w:id="105"/>
    <w:bookmarkStart w:id="106"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06"/>
    <w:bookmarkStart w:id="107"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07"/>
    <w:bookmarkStart w:id="108"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08"/>
    <w:bookmarkStart w:id="110"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09">
        <w:r>
          <w:rPr>
            <w:rStyle w:val="Hyperlink"/>
          </w:rPr>
          <w:t xml:space="preserve">https://doi.org/10.1890/11-0077.1</w:t>
        </w:r>
      </w:hyperlink>
      <w:r>
        <w:t xml:space="preserve">.</w:t>
      </w:r>
    </w:p>
    <w:bookmarkEnd w:id="110"/>
    <w:bookmarkStart w:id="111"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11"/>
    <w:bookmarkStart w:id="113"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12">
        <w:r>
          <w:rPr>
            <w:rStyle w:val="Hyperlink"/>
          </w:rPr>
          <w:t xml:space="preserve">https://doi.org/10.1111/gec3.12039</w:t>
        </w:r>
      </w:hyperlink>
      <w:r>
        <w:t xml:space="preserve">.</w:t>
      </w:r>
    </w:p>
    <w:bookmarkEnd w:id="113"/>
    <w:bookmarkStart w:id="115"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14">
        <w:r>
          <w:rPr>
            <w:rStyle w:val="Hyperlink"/>
          </w:rPr>
          <w:t xml:space="preserve">https://doi.org/10.1007/s10661-010-1385-8</w:t>
        </w:r>
      </w:hyperlink>
      <w:r>
        <w:t xml:space="preserve">.</w:t>
      </w:r>
    </w:p>
    <w:bookmarkEnd w:id="115"/>
    <w:bookmarkStart w:id="117"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6">
        <w:r>
          <w:rPr>
            <w:rStyle w:val="Hyperlink"/>
          </w:rPr>
          <w:t xml:space="preserve">https://doi.org/10.1046/j.1365-2427.2001.00758.x</w:t>
        </w:r>
      </w:hyperlink>
      <w:r>
        <w:t xml:space="preserve">.</w:t>
      </w:r>
    </w:p>
    <w:bookmarkEnd w:id="117"/>
    <w:bookmarkStart w:id="119"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18">
        <w:r>
          <w:rPr>
            <w:rStyle w:val="Hyperlink"/>
          </w:rPr>
          <w:t xml:space="preserve">https://doi.org/10.1111/j.1365-2664.2008.01548.x</w:t>
        </w:r>
      </w:hyperlink>
      <w:r>
        <w:t xml:space="preserve">.</w:t>
      </w:r>
    </w:p>
    <w:bookmarkEnd w:id="119"/>
    <w:bookmarkStart w:id="120" w:name="ref-USEPA16"/>
    <w:p>
      <w:pPr>
        <w:pStyle w:val="Bibliography"/>
      </w:pPr>
      <w:r>
        <w:t xml:space="preserve">USEPA (US Environmental Protection Agency). 2016. “National Rivers and Streams Assessment 2008-2009: A Collaborative Survey.” EPA-841-R-16-007. Washington, DC.</w:t>
      </w:r>
    </w:p>
    <w:bookmarkEnd w:id="120"/>
    <w:bookmarkStart w:id="121" w:name="ref-USGS99"/>
    <w:p>
      <w:pPr>
        <w:pStyle w:val="Bibliography"/>
      </w:pPr>
      <w:r>
        <w:t xml:space="preserve">USGS (US Geological Survey). 1999. “The quality of our nation’s waters: nutrients and pesticides.” Reston, Virginia.</w:t>
      </w:r>
    </w:p>
    <w:bookmarkEnd w:id="121"/>
    <w:bookmarkStart w:id="122" w:name="ref-USGS14"/>
    <w:p>
      <w:pPr>
        <w:pStyle w:val="Bibliography"/>
      </w:pPr>
      <w:r>
        <w:t xml:space="preserve">———. 2014. “National Hydrography Dataset available on the World Wide Web.”</w:t>
      </w:r>
    </w:p>
    <w:bookmarkEnd w:id="122"/>
    <w:bookmarkStart w:id="124"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23">
        <w:r>
          <w:rPr>
            <w:rStyle w:val="Hyperlink"/>
          </w:rPr>
          <w:t xml:space="preserve">https://doi.org/10.1023/A:1023374524254</w:t>
        </w:r>
      </w:hyperlink>
      <w:r>
        <w:t xml:space="preserve">.</w:t>
      </w:r>
    </w:p>
    <w:bookmarkEnd w:id="124"/>
    <w:bookmarkStart w:id="126"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25">
        <w:r>
          <w:rPr>
            <w:rStyle w:val="Hyperlink"/>
          </w:rPr>
          <w:t xml:space="preserve">https://doi.org/10.1577/1548-8446(1997)022%3C0006:IOWLUO%3E2.0.CO;2</w:t>
        </w:r>
      </w:hyperlink>
      <w:r>
        <w:t xml:space="preserve">.</w:t>
      </w:r>
    </w:p>
    <w:bookmarkEnd w:id="126"/>
    <w:bookmarkEnd w:id="12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hyperlink" Id="rId51" Target="http://shiny.sccwrp.org/scape/" TargetMode="External" /><Relationship Type="http://schemas.openxmlformats.org/officeDocument/2006/relationships/hyperlink" Id="rId101" Target="https://CRAN.R-project.org/package=quantregForest" TargetMode="External" /><Relationship Type="http://schemas.openxmlformats.org/officeDocument/2006/relationships/hyperlink" Id="rId85"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6"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4" Target="https://doi.org/10.1007/s10661-010-1385-8" TargetMode="External" /><Relationship Type="http://schemas.openxmlformats.org/officeDocument/2006/relationships/hyperlink" Id="rId76" Target="https://doi.org/10.1016/j.ecolind.2013.07.006" TargetMode="External" /><Relationship Type="http://schemas.openxmlformats.org/officeDocument/2006/relationships/hyperlink" Id="rId94" Target="https://doi.org/10.1016/j.scitotenv.2015.07.083" TargetMode="External" /><Relationship Type="http://schemas.openxmlformats.org/officeDocument/2006/relationships/hyperlink" Id="rId104" Target="https://doi.org/10.1016/j.watres.2004.09.002" TargetMode="External" /><Relationship Type="http://schemas.openxmlformats.org/officeDocument/2006/relationships/hyperlink" Id="rId123"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6" Target="https://doi.org/10.1046/j.1365-2427.2001.00758.x" TargetMode="External" /><Relationship Type="http://schemas.openxmlformats.org/officeDocument/2006/relationships/hyperlink" Id="rId87" Target="https://doi.org/10.1111/1752-1688.12372" TargetMode="External" /><Relationship Type="http://schemas.openxmlformats.org/officeDocument/2006/relationships/hyperlink" Id="rId112"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18"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2" Target="https://doi.org/10.1111/j.1752-1688.2011.00635.x" TargetMode="External" /><Relationship Type="http://schemas.openxmlformats.org/officeDocument/2006/relationships/hyperlink" Id="rId68" Target="https://doi.org/10.1146/annurev.ecolsys.35.120202.110122" TargetMode="External" /><Relationship Type="http://schemas.openxmlformats.org/officeDocument/2006/relationships/hyperlink" Id="rId89" Target="https://doi.org/10.1371/journal.pone.0130710" TargetMode="External" /><Relationship Type="http://schemas.openxmlformats.org/officeDocument/2006/relationships/hyperlink" Id="rId125" Target="https://doi.org/10.1577/1548-8446(1997)022%3C0006:IOWLUO%3E2.0.CO;2" TargetMode="External" /><Relationship Type="http://schemas.openxmlformats.org/officeDocument/2006/relationships/hyperlink" Id="rId109"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51" Target="http://shiny.sccwrp.org/scape/" TargetMode="External" /><Relationship Type="http://schemas.openxmlformats.org/officeDocument/2006/relationships/hyperlink" Id="rId101" Target="https://CRAN.R-project.org/package=quantregForest" TargetMode="External" /><Relationship Type="http://schemas.openxmlformats.org/officeDocument/2006/relationships/hyperlink" Id="rId85" Target="https://doi.org/10.1002/eap.1617" TargetMode="External" /><Relationship Type="http://schemas.openxmlformats.org/officeDocument/2006/relationships/hyperlink" Id="rId80" Target="https://doi.org/10.1002/etc.2059" TargetMode="External" /><Relationship Type="http://schemas.openxmlformats.org/officeDocument/2006/relationships/hyperlink" Id="rId96" Target="https://doi.org/10.1007%2Fs00267-008-9151-1" TargetMode="External" /><Relationship Type="http://schemas.openxmlformats.org/officeDocument/2006/relationships/hyperlink" Id="rId74" Target="https://doi.org/10.1007/s10661-008-0256-z" TargetMode="External" /><Relationship Type="http://schemas.openxmlformats.org/officeDocument/2006/relationships/hyperlink" Id="rId114" Target="https://doi.org/10.1007/s10661-010-1385-8" TargetMode="External" /><Relationship Type="http://schemas.openxmlformats.org/officeDocument/2006/relationships/hyperlink" Id="rId76" Target="https://doi.org/10.1016/j.ecolind.2013.07.006" TargetMode="External" /><Relationship Type="http://schemas.openxmlformats.org/officeDocument/2006/relationships/hyperlink" Id="rId94" Target="https://doi.org/10.1016/j.scitotenv.2015.07.083" TargetMode="External" /><Relationship Type="http://schemas.openxmlformats.org/officeDocument/2006/relationships/hyperlink" Id="rId104" Target="https://doi.org/10.1016/j.watres.2004.09.002" TargetMode="External" /><Relationship Type="http://schemas.openxmlformats.org/officeDocument/2006/relationships/hyperlink" Id="rId123" Target="https://doi.org/10.1023/A:1023374524254" TargetMode="External" /><Relationship Type="http://schemas.openxmlformats.org/officeDocument/2006/relationships/hyperlink" Id="rId66" Target="https://doi.org/10.1046/j.1365-2427.1997.d01-546.x" TargetMode="External" /><Relationship Type="http://schemas.openxmlformats.org/officeDocument/2006/relationships/hyperlink" Id="rId116" Target="https://doi.org/10.1046/j.1365-2427.2001.00758.x" TargetMode="External" /><Relationship Type="http://schemas.openxmlformats.org/officeDocument/2006/relationships/hyperlink" Id="rId87" Target="https://doi.org/10.1111/1752-1688.12372" TargetMode="External" /><Relationship Type="http://schemas.openxmlformats.org/officeDocument/2006/relationships/hyperlink" Id="rId112" Target="https://doi.org/10.1111/gec3.12039" TargetMode="External" /><Relationship Type="http://schemas.openxmlformats.org/officeDocument/2006/relationships/hyperlink" Id="rId78" Target="https://doi.org/10.1111/j.1365-2427.2011.02696.x" TargetMode="External" /><Relationship Type="http://schemas.openxmlformats.org/officeDocument/2006/relationships/hyperlink" Id="rId118" Target="https://doi.org/10.1111/j.1365-2664.2008.01548.x" TargetMode="External" /><Relationship Type="http://schemas.openxmlformats.org/officeDocument/2006/relationships/hyperlink" Id="rId72" Target="https://doi.org/10.1111/j.1526-100X.2007.00285.x" TargetMode="External" /><Relationship Type="http://schemas.openxmlformats.org/officeDocument/2006/relationships/hyperlink" Id="rId82" Target="https://doi.org/10.1111/j.1752-1688.2000.tb05717.x" TargetMode="External" /><Relationship Type="http://schemas.openxmlformats.org/officeDocument/2006/relationships/hyperlink" Id="rId92" Target="https://doi.org/10.1111/j.1752-1688.2011.00635.x" TargetMode="External" /><Relationship Type="http://schemas.openxmlformats.org/officeDocument/2006/relationships/hyperlink" Id="rId68" Target="https://doi.org/10.1146/annurev.ecolsys.35.120202.110122" TargetMode="External" /><Relationship Type="http://schemas.openxmlformats.org/officeDocument/2006/relationships/hyperlink" Id="rId89" Target="https://doi.org/10.1371/journal.pone.0130710" TargetMode="External" /><Relationship Type="http://schemas.openxmlformats.org/officeDocument/2006/relationships/hyperlink" Id="rId125" Target="https://doi.org/10.1577/1548-8446(1997)022%3C0006:IOWLUO%3E2.0.CO;2" TargetMode="External" /><Relationship Type="http://schemas.openxmlformats.org/officeDocument/2006/relationships/hyperlink" Id="rId109"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2018-05-14T22:17:31Z</dcterms:created>
  <dcterms:modified xsi:type="dcterms:W3CDTF">2018-05-14T22:17:31Z</dcterms:modified>
</cp:coreProperties>
</file>